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4524EB">
        <w:rPr>
          <w:rFonts w:ascii="Arial" w:hAnsi="Arial" w:cs="Arial"/>
          <w:sz w:val="22"/>
          <w:szCs w:val="22"/>
        </w:rPr>
        <w:tab/>
        <w:t>February 5, 2020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proofErr w:type="spellStart"/>
      <w:r w:rsidR="004524EB">
        <w:rPr>
          <w:rFonts w:ascii="Arial" w:hAnsi="Arial" w:cs="Arial"/>
          <w:sz w:val="22"/>
          <w:szCs w:val="22"/>
        </w:rPr>
        <w:t>UTHealth</w:t>
      </w:r>
      <w:proofErr w:type="spellEnd"/>
      <w:r w:rsidR="004524EB">
        <w:rPr>
          <w:rFonts w:ascii="Arial" w:hAnsi="Arial" w:cs="Arial"/>
          <w:sz w:val="22"/>
          <w:szCs w:val="22"/>
        </w:rPr>
        <w:t xml:space="preserve"> Advertising Campaign</w:t>
      </w:r>
      <w:r w:rsidR="00A52CF3">
        <w:rPr>
          <w:rFonts w:ascii="Arial" w:hAnsi="Arial" w:cs="Arial"/>
          <w:sz w:val="22"/>
          <w:szCs w:val="22"/>
        </w:rPr>
        <w:tab/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744-R2008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0F41F5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bookmarkStart w:id="2" w:name="_GoBack"/>
      <w:r w:rsidRPr="000F41F5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0F41F5">
        <w:rPr>
          <w:rFonts w:ascii="Arial" w:hAnsi="Arial" w:cs="Arial"/>
          <w:sz w:val="22"/>
          <w:szCs w:val="22"/>
        </w:rPr>
        <w:t xml:space="preserve">and </w:t>
      </w:r>
      <w:r w:rsidRPr="000F41F5">
        <w:rPr>
          <w:rFonts w:ascii="Arial" w:hAnsi="Arial" w:cs="Arial"/>
          <w:sz w:val="22"/>
          <w:szCs w:val="22"/>
        </w:rPr>
        <w:t>mo</w:t>
      </w:r>
      <w:r w:rsidR="001202C6" w:rsidRPr="000F41F5">
        <w:rPr>
          <w:rFonts w:ascii="Arial" w:hAnsi="Arial" w:cs="Arial"/>
          <w:sz w:val="22"/>
          <w:szCs w:val="22"/>
        </w:rPr>
        <w:t xml:space="preserve">difies Proposal Documents dated, </w:t>
      </w:r>
      <w:r w:rsidR="004524EB" w:rsidRPr="000F41F5">
        <w:rPr>
          <w:rFonts w:ascii="Arial" w:hAnsi="Arial" w:cs="Arial"/>
          <w:sz w:val="22"/>
          <w:szCs w:val="22"/>
        </w:rPr>
        <w:t>January 8, 2020</w:t>
      </w:r>
      <w:r w:rsidRPr="000F41F5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0F41F5">
        <w:rPr>
          <w:rFonts w:ascii="Arial" w:hAnsi="Arial" w:cs="Arial"/>
          <w:sz w:val="22"/>
          <w:szCs w:val="22"/>
        </w:rPr>
        <w:t xml:space="preserve"> The following are the University’s responses to bidders’ questions received by the Question Deadline (</w:t>
      </w:r>
      <w:r w:rsidR="004524EB" w:rsidRPr="000F41F5">
        <w:rPr>
          <w:rFonts w:ascii="Arial" w:hAnsi="Arial" w:cs="Arial"/>
          <w:b/>
          <w:sz w:val="22"/>
          <w:szCs w:val="22"/>
        </w:rPr>
        <w:t>Section 2.2)</w:t>
      </w:r>
      <w:r w:rsidR="004524EB" w:rsidRPr="000F41F5">
        <w:rPr>
          <w:rFonts w:ascii="Arial" w:hAnsi="Arial" w:cs="Arial"/>
          <w:sz w:val="22"/>
          <w:szCs w:val="22"/>
        </w:rPr>
        <w:t xml:space="preserve"> on January 31, 2020. </w:t>
      </w:r>
    </w:p>
    <w:p w:rsidR="00386A28" w:rsidRPr="000F41F5" w:rsidRDefault="00386A2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BA5971" w:rsidRPr="000F41F5" w:rsidRDefault="00BA5971" w:rsidP="00BA5971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Cs w:val="22"/>
        </w:rPr>
      </w:pPr>
      <w:r w:rsidRPr="000F41F5">
        <w:rPr>
          <w:rFonts w:ascii="Arial" w:hAnsi="Arial" w:cs="Arial"/>
          <w:iCs/>
          <w:szCs w:val="22"/>
        </w:rPr>
        <w:t>Based on our understanding from the pre-bid meeting, since there is no section 6 in the RFP that both 1.9.3 and 3.5.2, the “Pricing and Delivery Schedule” no longer apply to this RFP, is this correct?</w:t>
      </w:r>
    </w:p>
    <w:p w:rsidR="00BA5971" w:rsidRPr="000F41F5" w:rsidRDefault="00BA5971" w:rsidP="00BA5971">
      <w:pPr>
        <w:pStyle w:val="ListParagraph"/>
        <w:rPr>
          <w:rFonts w:ascii="Arial" w:hAnsi="Arial" w:cs="Arial"/>
          <w:iCs/>
          <w:szCs w:val="22"/>
        </w:rPr>
      </w:pPr>
    </w:p>
    <w:p w:rsidR="00BA5971" w:rsidRPr="000F41F5" w:rsidRDefault="00806398" w:rsidP="00BA5971">
      <w:pPr>
        <w:pStyle w:val="ListParagraph"/>
        <w:rPr>
          <w:rFonts w:ascii="Arial" w:hAnsi="Arial" w:cs="Arial"/>
          <w:iCs/>
          <w:color w:val="FF0000"/>
          <w:szCs w:val="22"/>
        </w:rPr>
      </w:pPr>
      <w:r w:rsidRPr="000F41F5">
        <w:rPr>
          <w:rFonts w:ascii="Arial" w:hAnsi="Arial" w:cs="Arial"/>
          <w:iCs/>
          <w:color w:val="FF0000"/>
          <w:szCs w:val="22"/>
        </w:rPr>
        <w:t xml:space="preserve">Answer: </w:t>
      </w:r>
      <w:r w:rsidR="00BA5971" w:rsidRPr="000F41F5">
        <w:rPr>
          <w:rFonts w:ascii="Arial" w:hAnsi="Arial" w:cs="Arial"/>
          <w:iCs/>
          <w:color w:val="FF0000"/>
          <w:szCs w:val="22"/>
        </w:rPr>
        <w:t xml:space="preserve">That is correct. Section 1.9.3 and 3.5.2 do not apply. An addendum </w:t>
      </w:r>
      <w:proofErr w:type="gramStart"/>
      <w:r w:rsidR="00BA5971" w:rsidRPr="000F41F5">
        <w:rPr>
          <w:rFonts w:ascii="Arial" w:hAnsi="Arial" w:cs="Arial"/>
          <w:iCs/>
          <w:color w:val="FF0000"/>
          <w:szCs w:val="22"/>
        </w:rPr>
        <w:t>will be issued</w:t>
      </w:r>
      <w:proofErr w:type="gramEnd"/>
      <w:r w:rsidR="00BA5971" w:rsidRPr="000F41F5">
        <w:rPr>
          <w:rFonts w:ascii="Arial" w:hAnsi="Arial" w:cs="Arial"/>
          <w:iCs/>
          <w:color w:val="FF0000"/>
          <w:szCs w:val="22"/>
        </w:rPr>
        <w:t xml:space="preserve"> to remove any verbiage referring to Section 6 from the RFP.</w:t>
      </w:r>
    </w:p>
    <w:p w:rsidR="00BA5971" w:rsidRPr="000F41F5" w:rsidRDefault="00BA5971" w:rsidP="00BA5971">
      <w:pPr>
        <w:pStyle w:val="ListParagraph"/>
        <w:rPr>
          <w:rFonts w:ascii="Arial" w:hAnsi="Arial" w:cs="Arial"/>
          <w:color w:val="FF0000"/>
          <w:szCs w:val="22"/>
        </w:rPr>
      </w:pPr>
    </w:p>
    <w:p w:rsidR="00BA5971" w:rsidRPr="000F41F5" w:rsidRDefault="00BA5971" w:rsidP="00BA5971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Cs w:val="22"/>
        </w:rPr>
      </w:pPr>
      <w:r w:rsidRPr="000F41F5">
        <w:rPr>
          <w:rFonts w:ascii="Arial" w:hAnsi="Arial" w:cs="Arial"/>
          <w:iCs/>
          <w:szCs w:val="22"/>
        </w:rPr>
        <w:t xml:space="preserve">You stated in the pre-bid meeting that we could provide a link to the creative and other documents after the one-page description mentioned in 5.5.2. However, rather than a link for all items--following the one-page summary-- is it okay to include examples of certain creative, etc. within the document? </w:t>
      </w:r>
      <w:proofErr w:type="gramStart"/>
      <w:r w:rsidRPr="000F41F5">
        <w:rPr>
          <w:rFonts w:ascii="Arial" w:hAnsi="Arial" w:cs="Arial"/>
          <w:iCs/>
          <w:szCs w:val="22"/>
        </w:rPr>
        <w:t>Or</w:t>
      </w:r>
      <w:proofErr w:type="gramEnd"/>
      <w:r w:rsidRPr="000F41F5">
        <w:rPr>
          <w:rFonts w:ascii="Arial" w:hAnsi="Arial" w:cs="Arial"/>
          <w:iCs/>
          <w:szCs w:val="22"/>
        </w:rPr>
        <w:t xml:space="preserve"> do you prefer our using a link for all examples?</w:t>
      </w:r>
    </w:p>
    <w:p w:rsidR="00BA5971" w:rsidRPr="000F41F5" w:rsidRDefault="00BA5971" w:rsidP="00BA5971">
      <w:pPr>
        <w:pStyle w:val="ListParagraph"/>
        <w:spacing w:after="160" w:line="259" w:lineRule="auto"/>
        <w:rPr>
          <w:rFonts w:ascii="Arial" w:hAnsi="Arial" w:cs="Arial"/>
          <w:iCs/>
          <w:szCs w:val="22"/>
        </w:rPr>
      </w:pPr>
    </w:p>
    <w:p w:rsidR="000F41F5" w:rsidRPr="000F41F5" w:rsidRDefault="00806398" w:rsidP="000F41F5">
      <w:pPr>
        <w:pStyle w:val="ListParagraph"/>
        <w:spacing w:after="160" w:line="259" w:lineRule="auto"/>
        <w:rPr>
          <w:rFonts w:ascii="Arial" w:hAnsi="Arial" w:cs="Arial"/>
          <w:color w:val="FF0000"/>
          <w:szCs w:val="22"/>
        </w:rPr>
      </w:pPr>
      <w:r w:rsidRPr="000F41F5">
        <w:rPr>
          <w:rFonts w:ascii="Arial" w:hAnsi="Arial" w:cs="Arial"/>
          <w:color w:val="FF0000"/>
          <w:szCs w:val="22"/>
        </w:rPr>
        <w:t xml:space="preserve">Answer: </w:t>
      </w:r>
      <w:r w:rsidR="00BA5971" w:rsidRPr="000F41F5">
        <w:rPr>
          <w:rFonts w:ascii="Arial" w:hAnsi="Arial" w:cs="Arial"/>
          <w:color w:val="FF0000"/>
          <w:szCs w:val="22"/>
        </w:rPr>
        <w:t xml:space="preserve">There is not a preference on how the creative </w:t>
      </w:r>
      <w:proofErr w:type="gramStart"/>
      <w:r w:rsidR="00BA5971" w:rsidRPr="000F41F5">
        <w:rPr>
          <w:rFonts w:ascii="Arial" w:hAnsi="Arial" w:cs="Arial"/>
          <w:color w:val="FF0000"/>
          <w:szCs w:val="22"/>
        </w:rPr>
        <w:t>is presented</w:t>
      </w:r>
      <w:proofErr w:type="gramEnd"/>
      <w:r w:rsidR="00BA5971" w:rsidRPr="000F41F5">
        <w:rPr>
          <w:rFonts w:ascii="Arial" w:hAnsi="Arial" w:cs="Arial"/>
          <w:color w:val="FF0000"/>
          <w:szCs w:val="22"/>
        </w:rPr>
        <w:t>. The agencies are free to submit, as they prefer – that will give evaluators a better idea of how they work.</w:t>
      </w:r>
    </w:p>
    <w:p w:rsidR="000F41F5" w:rsidRPr="000F41F5" w:rsidRDefault="000F41F5" w:rsidP="000F41F5">
      <w:pPr>
        <w:spacing w:after="160" w:line="259" w:lineRule="auto"/>
        <w:rPr>
          <w:rFonts w:ascii="Arial" w:hAnsi="Arial" w:cs="Arial"/>
          <w:color w:val="FF0000"/>
          <w:szCs w:val="22"/>
        </w:rPr>
      </w:pPr>
    </w:p>
    <w:p w:rsidR="000F41F5" w:rsidRPr="000F41F5" w:rsidRDefault="000F41F5" w:rsidP="000F41F5">
      <w:pPr>
        <w:spacing w:after="160" w:line="259" w:lineRule="auto"/>
        <w:rPr>
          <w:rFonts w:ascii="Arial" w:hAnsi="Arial" w:cs="Arial"/>
          <w:color w:val="FF0000"/>
          <w:szCs w:val="22"/>
        </w:rPr>
      </w:pPr>
    </w:p>
    <w:p w:rsidR="000F41F5" w:rsidRPr="000F41F5" w:rsidRDefault="000F41F5" w:rsidP="000F41F5">
      <w:pPr>
        <w:spacing w:after="160" w:line="259" w:lineRule="auto"/>
        <w:rPr>
          <w:rFonts w:ascii="Arial" w:hAnsi="Arial" w:cs="Arial"/>
          <w:color w:val="FF0000"/>
          <w:szCs w:val="22"/>
        </w:rPr>
      </w:pPr>
    </w:p>
    <w:p w:rsidR="000F41F5" w:rsidRPr="000F41F5" w:rsidRDefault="000F41F5" w:rsidP="000F41F5">
      <w:pPr>
        <w:spacing w:after="160" w:line="259" w:lineRule="auto"/>
        <w:rPr>
          <w:rFonts w:ascii="Arial" w:hAnsi="Arial" w:cs="Arial"/>
          <w:color w:val="FF0000"/>
          <w:szCs w:val="22"/>
        </w:rPr>
      </w:pPr>
    </w:p>
    <w:p w:rsidR="000F41F5" w:rsidRPr="000F41F5" w:rsidRDefault="000F41F5" w:rsidP="000F41F5">
      <w:pPr>
        <w:spacing w:after="160" w:line="259" w:lineRule="auto"/>
        <w:rPr>
          <w:rFonts w:ascii="Arial" w:hAnsi="Arial" w:cs="Arial"/>
          <w:color w:val="FF0000"/>
          <w:szCs w:val="22"/>
        </w:rPr>
      </w:pPr>
    </w:p>
    <w:p w:rsidR="000F41F5" w:rsidRPr="000F41F5" w:rsidRDefault="000F41F5" w:rsidP="000F41F5">
      <w:pPr>
        <w:spacing w:after="160" w:line="259" w:lineRule="auto"/>
        <w:rPr>
          <w:rFonts w:ascii="Arial" w:hAnsi="Arial" w:cs="Arial"/>
          <w:color w:val="FF0000"/>
          <w:szCs w:val="22"/>
        </w:rPr>
      </w:pPr>
    </w:p>
    <w:p w:rsidR="00110006" w:rsidRPr="000F41F5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9B3E60" w:rsidRPr="000F41F5" w:rsidRDefault="00877216" w:rsidP="00DA74B0">
      <w:pPr>
        <w:rPr>
          <w:rFonts w:ascii="Arial" w:hAnsi="Arial" w:cs="Arial"/>
          <w:szCs w:val="22"/>
        </w:rPr>
      </w:pPr>
      <w:r w:rsidRPr="000F41F5">
        <w:rPr>
          <w:rFonts w:ascii="Arial" w:hAnsi="Arial" w:cs="Arial"/>
          <w:b/>
          <w:szCs w:val="22"/>
        </w:rPr>
        <w:tab/>
      </w:r>
    </w:p>
    <w:p w:rsidR="00A52CF3" w:rsidRPr="000F41F5" w:rsidRDefault="000F41F5" w:rsidP="00110006">
      <w:pPr>
        <w:rPr>
          <w:rFonts w:ascii="Arial" w:hAnsi="Arial" w:cs="Arial"/>
          <w:b/>
          <w:szCs w:val="22"/>
        </w:rPr>
      </w:pPr>
      <w:r w:rsidRPr="000F41F5">
        <w:rPr>
          <w:rFonts w:ascii="Arial" w:hAnsi="Arial" w:cs="Arial"/>
          <w:b/>
          <w:szCs w:val="22"/>
        </w:rPr>
        <w:t xml:space="preserve">End of Addendum 1 </w:t>
      </w:r>
    </w:p>
    <w:bookmarkEnd w:id="2"/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FF134D">
      <w:pPr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>DDENDUM 5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NUMBER AND NAME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0F41F5">
      <w:rPr>
        <w:noProof/>
        <w:sz w:val="18"/>
        <w:szCs w:val="18"/>
      </w:rPr>
      <w:t>2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0F41F5">
      <w:rPr>
        <w:noProof/>
        <w:sz w:val="18"/>
        <w:szCs w:val="18"/>
      </w:rPr>
      <w:t>2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0F41F5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18ED"/>
    <w:rsid w:val="006D3549"/>
    <w:rsid w:val="00714682"/>
    <w:rsid w:val="007E0932"/>
    <w:rsid w:val="00806398"/>
    <w:rsid w:val="00817986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78CFB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Gomez, Felix M</cp:lastModifiedBy>
  <cp:revision>4</cp:revision>
  <cp:lastPrinted>2008-11-20T18:46:00Z</cp:lastPrinted>
  <dcterms:created xsi:type="dcterms:W3CDTF">2020-02-05T19:21:00Z</dcterms:created>
  <dcterms:modified xsi:type="dcterms:W3CDTF">2020-02-05T19:37:00Z</dcterms:modified>
</cp:coreProperties>
</file>